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hint="eastAsia" w:ascii="黑体" w:hAnsi="黑体" w:eastAsia="黑体" w:cs="黑体"/>
          <w:b/>
          <w:bCs/>
          <w:sz w:val="48"/>
          <w:szCs w:val="4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8"/>
          <w:szCs w:val="48"/>
          <w:lang w:val="en-US" w:eastAsia="zh-CN"/>
        </w:rPr>
        <w:t>投标客户端操作手册</w:t>
      </w: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4504"/>
        <w:showingPlcHdr/>
        <w15:color w:val="DBDBDB"/>
        <w:docPartObj>
          <w:docPartGallery w:val="Table of Contents"/>
          <w:docPartUnique/>
        </w:docPartObj>
      </w:sdtPr>
      <w:sdtEndPr>
        <w:rPr>
          <w:rFonts w:hint="default" w:ascii="Times New Roman" w:hAnsi="Times New Roman" w:eastAsia="仿宋" w:cs="Times New Roman"/>
          <w:kern w:val="0"/>
          <w:sz w:val="20"/>
          <w:szCs w:val="28"/>
          <w:lang w:val="en-US" w:eastAsia="zh-CN" w:bidi="ar-SA"/>
        </w:rPr>
      </w:sdtEndPr>
      <w:sdtContent>
        <w:p>
          <w:pPr>
            <w:pStyle w:val="3"/>
            <w:rPr>
              <w:rFonts w:hint="default" w:ascii="Times New Roman" w:hAnsi="Times New Roman" w:eastAsia="仿宋" w:cs="Times New Roman"/>
              <w:sz w:val="28"/>
              <w:szCs w:val="28"/>
            </w:rPr>
          </w:pPr>
        </w:p>
      </w:sdtContent>
    </w:sdt>
    <w:p>
      <w:pPr>
        <w:rPr>
          <w:rFonts w:hint="default" w:ascii="Times New Roman" w:hAnsi="Times New Roman" w:eastAsia="仿宋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仿宋" w:cs="Times New Roman"/>
          <w:sz w:val="44"/>
          <w:szCs w:val="44"/>
          <w:lang w:val="en-US" w:eastAsia="zh-CN"/>
        </w:rPr>
        <w:t>一、</w:t>
      </w:r>
      <w:r>
        <w:rPr>
          <w:rFonts w:hint="default" w:ascii="Times New Roman" w:hAnsi="Times New Roman" w:eastAsia="仿宋" w:cs="Times New Roman"/>
          <w:sz w:val="44"/>
          <w:szCs w:val="44"/>
          <w:lang w:val="en-US" w:eastAsia="zh-CN"/>
        </w:rPr>
        <w:t>投标客户端简易版说明</w:t>
      </w:r>
    </w:p>
    <w:p>
      <w:p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0" w:name="_Toc21324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在网站首页www.cqzbw.com下载渝e招投标客户端并解压</w:t>
      </w:r>
      <w:bookmarkEnd w:id="0"/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1" w:name="_Toc11179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依次安装驱动程序</w:t>
      </w:r>
      <w:bookmarkEnd w:id="1"/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3797300" cy="1792605"/>
            <wp:effectExtent l="0" t="0" r="1270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2" w:name="_Toc29343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驱动程序安装完成后即可双击打开客户端编制投标文件</w:t>
      </w:r>
      <w:bookmarkEnd w:id="2"/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3886200" cy="1257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690" cy="3418840"/>
            <wp:effectExtent l="0" t="0" r="381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3" w:name="_Toc31420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导入下载的招标文件</w:t>
      </w:r>
      <w:bookmarkEnd w:id="3"/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71770" cy="1306195"/>
            <wp:effectExtent l="0" t="0" r="11430" b="190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4712970" cy="3068955"/>
            <wp:effectExtent l="0" t="0" r="11430" b="444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297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72405" cy="1964055"/>
            <wp:effectExtent l="0" t="0" r="10795" b="444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4" w:name="_Toc9188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进行投标文件制作</w:t>
      </w:r>
      <w:bookmarkEnd w:id="4"/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59705" cy="2862580"/>
            <wp:effectExtent l="0" t="0" r="10795" b="762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86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57800" cy="2476500"/>
            <wp:effectExtent l="0" t="0" r="0" b="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0975" cy="2859405"/>
            <wp:effectExtent l="0" t="0" r="9525" b="10795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59705" cy="2424430"/>
            <wp:effectExtent l="0" t="0" r="10795" b="1270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71770" cy="2508885"/>
            <wp:effectExtent l="0" t="0" r="11430" b="571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5420" cy="1782445"/>
            <wp:effectExtent l="0" t="0" r="5080" b="825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4347210" cy="2843530"/>
            <wp:effectExtent l="0" t="0" r="8890" b="127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47210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4029075" cy="3661410"/>
            <wp:effectExtent l="0" t="0" r="9525" b="889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66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4072255" cy="1867535"/>
            <wp:effectExtent l="0" t="0" r="4445" b="1206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3729355" cy="2131695"/>
            <wp:effectExtent l="0" t="0" r="4445" b="1905"/>
            <wp:docPr id="1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2935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3412490" cy="2338070"/>
            <wp:effectExtent l="0" t="0" r="3810" b="1143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5" w:name="_Toc6818"/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进入该项目的项目工作台上传投标文件</w:t>
      </w:r>
      <w:bookmarkEnd w:id="5"/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3636010" cy="1938020"/>
            <wp:effectExtent l="0" t="0" r="8890" b="5080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4319905" cy="1953895"/>
            <wp:effectExtent l="0" t="0" r="10795" b="1905"/>
            <wp:docPr id="2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3439795" cy="2037080"/>
            <wp:effectExtent l="0" t="0" r="1905" b="7620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2"/>
        </w:numPr>
        <w:outlineLvl w:val="0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bookmarkStart w:id="6" w:name="_Toc31671"/>
      <w:r>
        <w:rPr>
          <w:rFonts w:hint="eastAsia" w:eastAsia="仿宋" w:cs="Times New Roman"/>
          <w:sz w:val="28"/>
          <w:szCs w:val="28"/>
          <w:lang w:val="en-US" w:eastAsia="zh-CN"/>
        </w:rPr>
        <w:t>完成</w:t>
      </w:r>
      <w:bookmarkEnd w:id="6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rPr>
          <w:rFonts w:hint="default" w:ascii="Times New Roman" w:hAnsi="Times New Roman" w:eastAsia="仿宋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仿宋" w:cs="Times New Roman"/>
          <w:sz w:val="44"/>
          <w:szCs w:val="44"/>
          <w:lang w:val="en-US" w:eastAsia="zh-CN"/>
        </w:rPr>
        <w:t>二、</w:t>
      </w:r>
      <w:r>
        <w:rPr>
          <w:rFonts w:hint="default" w:ascii="Times New Roman" w:hAnsi="Times New Roman" w:eastAsia="仿宋" w:cs="Times New Roman"/>
          <w:sz w:val="44"/>
          <w:szCs w:val="44"/>
          <w:lang w:val="en-US" w:eastAsia="zh-CN"/>
        </w:rPr>
        <w:t>投标客户端详细版</w:t>
      </w:r>
      <w:r>
        <w:rPr>
          <w:rFonts w:hint="eastAsia" w:ascii="Times New Roman" w:hAnsi="Times New Roman" w:eastAsia="仿宋" w:cs="Times New Roman"/>
          <w:sz w:val="44"/>
          <w:szCs w:val="44"/>
          <w:lang w:val="en-US" w:eastAsia="zh-CN"/>
        </w:rPr>
        <w:t>说明</w:t>
      </w:r>
      <w:bookmarkStart w:id="29" w:name="_GoBack"/>
      <w:bookmarkEnd w:id="29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4"/>
        <w:numPr>
          <w:ilvl w:val="2"/>
          <w:numId w:val="0"/>
        </w:numPr>
        <w:tabs>
          <w:tab w:val="left" w:pos="0"/>
        </w:tabs>
        <w:ind w:leftChars="0"/>
        <w:rPr>
          <w:rFonts w:hint="default" w:ascii="Times New Roman" w:hAnsi="Times New Roman" w:eastAsia="仿宋" w:cs="Times New Roman"/>
          <w:sz w:val="28"/>
          <w:szCs w:val="28"/>
        </w:rPr>
      </w:pPr>
      <w:bookmarkStart w:id="7" w:name="_Toc29888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1、</w:t>
      </w:r>
      <w:r>
        <w:rPr>
          <w:rFonts w:hint="default" w:ascii="Times New Roman" w:hAnsi="Times New Roman" w:eastAsia="仿宋" w:cs="Times New Roman"/>
          <w:sz w:val="28"/>
          <w:szCs w:val="28"/>
        </w:rPr>
        <w:t>业务描述</w:t>
      </w:r>
      <w:bookmarkEnd w:id="7"/>
    </w:p>
    <w:p>
      <w:pPr>
        <w:pStyle w:val="3"/>
        <w:spacing w:after="0" w:line="520" w:lineRule="exact"/>
        <w:ind w:firstLine="560" w:firstLineChars="200"/>
        <w:rPr>
          <w:rFonts w:hint="default" w:ascii="Times New Roman" w:hAnsi="Times New Roman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投标人从所参加的项目中下载招标文件，通过【投标客户端】制作生成投标文件，然后递交投标文件到项目中，才能参与项目后续流程。</w:t>
      </w:r>
    </w:p>
    <w:p>
      <w:pPr>
        <w:pStyle w:val="4"/>
        <w:numPr>
          <w:ilvl w:val="2"/>
          <w:numId w:val="0"/>
        </w:numPr>
        <w:tabs>
          <w:tab w:val="left" w:pos="0"/>
        </w:tabs>
        <w:ind w:leftChars="0"/>
        <w:rPr>
          <w:rFonts w:hint="default" w:ascii="Times New Roman" w:hAnsi="Times New Roman" w:eastAsia="仿宋" w:cs="Times New Roman"/>
          <w:sz w:val="28"/>
          <w:szCs w:val="28"/>
        </w:rPr>
      </w:pPr>
      <w:bookmarkStart w:id="8" w:name="_Toc12347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2、</w:t>
      </w:r>
      <w:r>
        <w:rPr>
          <w:rFonts w:hint="default" w:ascii="Times New Roman" w:hAnsi="Times New Roman" w:eastAsia="仿宋" w:cs="Times New Roman"/>
          <w:sz w:val="28"/>
          <w:szCs w:val="28"/>
        </w:rPr>
        <w:t>角色权限</w:t>
      </w:r>
      <w:bookmarkEnd w:id="8"/>
    </w:p>
    <w:tbl>
      <w:tblPr>
        <w:tblStyle w:val="10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1781"/>
        <w:gridCol w:w="5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18" w:type="dxa"/>
            <w:tcBorders>
              <w:tl2br w:val="nil"/>
              <w:tr2bl w:val="nil"/>
            </w:tcBorders>
            <w:shd w:val="clear" w:color="auto" w:fill="F4B083" w:themeFill="accent2" w:themeFillTint="99"/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  <w:t>序号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F4B083" w:themeFill="accent2" w:themeFillTint="99"/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  <w:t>角色名称</w:t>
            </w:r>
          </w:p>
        </w:tc>
        <w:tc>
          <w:tcPr>
            <w:tcW w:w="5801" w:type="dxa"/>
            <w:tcBorders>
              <w:tl2br w:val="nil"/>
              <w:tr2bl w:val="nil"/>
            </w:tcBorders>
            <w:shd w:val="clear" w:color="auto" w:fill="F4B083" w:themeFill="accent2" w:themeFillTint="99"/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Hans"/>
              </w:rPr>
              <w:t>权限说明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sz w:val="28"/>
                <w:szCs w:val="28"/>
                <w:lang w:eastAsia="zh-Hans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Hans"/>
              </w:rPr>
              <w:t>1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投标人</w:t>
            </w:r>
          </w:p>
        </w:tc>
        <w:tc>
          <w:tcPr>
            <w:tcW w:w="58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3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1、投标人通过投标文件客户端创建投标文件。</w:t>
            </w:r>
          </w:p>
        </w:tc>
      </w:tr>
    </w:tbl>
    <w:p>
      <w:pPr>
        <w:pStyle w:val="3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4"/>
        <w:numPr>
          <w:ilvl w:val="2"/>
          <w:numId w:val="0"/>
        </w:numPr>
        <w:tabs>
          <w:tab w:val="left" w:pos="0"/>
        </w:tabs>
        <w:ind w:leftChars="0"/>
        <w:rPr>
          <w:rFonts w:hint="default" w:ascii="Times New Roman" w:hAnsi="Times New Roman" w:eastAsia="仿宋" w:cs="Times New Roman"/>
          <w:sz w:val="28"/>
          <w:szCs w:val="28"/>
        </w:rPr>
      </w:pPr>
      <w:bookmarkStart w:id="9" w:name="_Toc22451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3、</w:t>
      </w:r>
      <w:r>
        <w:rPr>
          <w:rFonts w:hint="default" w:ascii="Times New Roman" w:hAnsi="Times New Roman" w:eastAsia="仿宋" w:cs="Times New Roman"/>
          <w:sz w:val="28"/>
          <w:szCs w:val="28"/>
        </w:rPr>
        <w:t>业务流程</w:t>
      </w:r>
      <w:bookmarkEnd w:id="9"/>
    </w:p>
    <w:p>
      <w:pPr>
        <w:pStyle w:val="12"/>
        <w:numPr>
          <w:ilvl w:val="0"/>
          <w:numId w:val="3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供应商下载招标文件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后</w:t>
      </w:r>
      <w:r>
        <w:rPr>
          <w:rFonts w:hint="default" w:ascii="Times New Roman" w:hAnsi="Times New Roman" w:eastAsia="仿宋" w:cs="Times New Roman"/>
          <w:sz w:val="28"/>
          <w:szCs w:val="28"/>
        </w:rPr>
        <w:t>，投标人根据招标文件中的ebid文件，通过投标客户端创建投标文件。</w:t>
      </w:r>
    </w:p>
    <w:p>
      <w:pPr>
        <w:pStyle w:val="12"/>
        <w:numPr>
          <w:ilvl w:val="0"/>
          <w:numId w:val="3"/>
        </w:numPr>
        <w:ind w:firstLineChars="0"/>
        <w:rPr>
          <w:rFonts w:hint="default" w:ascii="Times New Roman" w:hAnsi="Times New Roman" w:eastAsia="仿宋" w:cs="Times New Roman"/>
          <w:color w:val="FF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FF0000"/>
          <w:sz w:val="28"/>
          <w:szCs w:val="28"/>
        </w:rPr>
        <w:t>创建投标文件后，顶部</w:t>
      </w:r>
      <w:r>
        <w:rPr>
          <w:rFonts w:hint="default" w:ascii="Times New Roman" w:hAnsi="Times New Roman" w:eastAsia="仿宋" w:cs="Times New Roman"/>
          <w:color w:val="FF0000"/>
          <w:sz w:val="28"/>
          <w:szCs w:val="28"/>
          <w:lang w:val="en-US"/>
        </w:rPr>
        <w:t>分为</w:t>
      </w:r>
      <w:r>
        <w:rPr>
          <w:rFonts w:hint="default" w:ascii="Times New Roman" w:hAnsi="Times New Roman" w:eastAsia="仿宋" w:cs="Times New Roman"/>
          <w:color w:val="FF0000"/>
          <w:sz w:val="28"/>
          <w:szCs w:val="28"/>
        </w:rPr>
        <w:t>商务、技术、技术暗标、价格、条款关联、生成投标文件6个环节。其中技术暗标是根据评标办法设置时如果有设置则显示，如果未设置则没有技术暗标环节。</w:t>
      </w:r>
    </w:p>
    <w:p>
      <w:pPr>
        <w:pStyle w:val="4"/>
        <w:numPr>
          <w:ilvl w:val="2"/>
          <w:numId w:val="0"/>
        </w:numPr>
        <w:tabs>
          <w:tab w:val="left" w:pos="0"/>
        </w:tabs>
        <w:ind w:leftChars="0"/>
        <w:rPr>
          <w:rFonts w:hint="default" w:ascii="Times New Roman" w:hAnsi="Times New Roman" w:eastAsia="仿宋" w:cs="Times New Roman"/>
          <w:sz w:val="28"/>
          <w:szCs w:val="28"/>
        </w:rPr>
      </w:pPr>
      <w:bookmarkStart w:id="10" w:name="_Toc10881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4、</w:t>
      </w:r>
      <w:r>
        <w:rPr>
          <w:rFonts w:hint="default" w:ascii="Times New Roman" w:hAnsi="Times New Roman" w:eastAsia="仿宋" w:cs="Times New Roman"/>
          <w:sz w:val="28"/>
          <w:szCs w:val="28"/>
        </w:rPr>
        <w:t>功能描述</w:t>
      </w:r>
      <w:bookmarkEnd w:id="10"/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导入数据包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导入招标文件数据包是投标人开始编制投标文件的第一步，投标人打开投标文件编制客户端，停留在主界面中，使用“创建投标文件”功能导入招标文件数据包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投标客户端支持导入资格预审文件、投标文件的数据包。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投标客户端支持总价、单项、费率以及分项报价。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确定导入数据包后，投标客户端判断用户选择的招标文件数据包格式是否正确。如果招标文件格式不正确，流程不能继续下去，弹出框提示：招标文件数据包格式异常，请重新下载数据包后再试！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判断该招标文件数据包的项目在当前的客户端是否已经编制。如果有编制记录,则会提示用户要取消导入还是要覆盖之前的数据。如果用户选择取消,则流程结束。如果用户选择覆盖,会覆盖之前的投标文件数据。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导入数据包时，支持校验当前的数据包版本与投标客户端是否匹配。当数据包版本和投标客户端版本匹配时，提示数据包导入成功，可以创建投标文件；当数据包版本和投标客户端版本不匹配时，不能导入数据包，弹出框提示：该文件要求的投标文件客户端最低版本为【...】,请更新后再创建。</w:t>
      </w:r>
    </w:p>
    <w:p>
      <w:pPr>
        <w:pStyle w:val="12"/>
        <w:numPr>
          <w:ilvl w:val="0"/>
          <w:numId w:val="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数据包导入成功后可进行投标文件的编制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数据包解析</w:t>
      </w:r>
    </w:p>
    <w:p>
      <w:pPr>
        <w:pStyle w:val="12"/>
        <w:numPr>
          <w:ilvl w:val="0"/>
          <w:numId w:val="5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招标文件数据包导入成功后，客户端根据评标办法初始化投标文件编制页面。投标文件编制完成后，如果招标人设置需要将投标文件内容与条款关联，投标人需将投标文件与条款一一关联。</w:t>
      </w:r>
      <w:r>
        <w:rPr>
          <w:rFonts w:hint="default" w:ascii="Times New Roman" w:hAnsi="Times New Roman" w:eastAsia="仿宋" w:cs="Times New Roman"/>
          <w:color w:val="FF0000"/>
          <w:sz w:val="28"/>
          <w:szCs w:val="28"/>
        </w:rPr>
        <w:t>然后通过CA对投标文件进行加密，生成三份（商务、技术、价格）加密的etnd格式的投标文件。如果有技术明标和技术暗标则生成四份（商务、技术、技术暗标、价格），如果纯暗标生成三份（商务、技术暗标、价格）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文件上传</w:t>
      </w:r>
    </w:p>
    <w:p>
      <w:pPr>
        <w:pStyle w:val="12"/>
        <w:numPr>
          <w:ilvl w:val="0"/>
          <w:numId w:val="6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支持上传PDF格式的投标文件。</w:t>
      </w:r>
    </w:p>
    <w:p>
      <w:pPr>
        <w:pStyle w:val="12"/>
        <w:numPr>
          <w:ilvl w:val="0"/>
          <w:numId w:val="6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支持上传其他文件。其他文件上传后，不需要签章，文件上传后要显示文件名、文件大小、上传后可支持删除。</w:t>
      </w:r>
    </w:p>
    <w:p>
      <w:pPr>
        <w:pStyle w:val="12"/>
        <w:numPr>
          <w:ilvl w:val="0"/>
          <w:numId w:val="6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文件上传后需要进行CA签章（技术暗标部分上传即可无需签章）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CA签章</w:t>
      </w:r>
    </w:p>
    <w:p>
      <w:pPr>
        <w:pStyle w:val="12"/>
        <w:numPr>
          <w:ilvl w:val="0"/>
          <w:numId w:val="7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支持对投标文件PDF文件进行签章。支持单页签章、多页签章。</w:t>
      </w:r>
    </w:p>
    <w:p>
      <w:pPr>
        <w:pStyle w:val="12"/>
        <w:numPr>
          <w:ilvl w:val="0"/>
          <w:numId w:val="7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投标文件PDF签章：投标客户端可以在创建投标文件后，导入投标文件PDF进行CA签章</w:t>
      </w:r>
    </w:p>
    <w:p>
      <w:pPr>
        <w:pStyle w:val="12"/>
        <w:numPr>
          <w:ilvl w:val="0"/>
          <w:numId w:val="7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单页签章：点击【单页签章】按钮时，首先投标人需要输入CA密码，CA密码验证通过后，投标人在PDF文件内选择正确的签章位置进行签章，签章成功后，PDF文件内正确显示签章位置、签章信息。</w:t>
      </w:r>
    </w:p>
    <w:p>
      <w:pPr>
        <w:pStyle w:val="12"/>
        <w:numPr>
          <w:ilvl w:val="0"/>
          <w:numId w:val="7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多页签章：点击【多页签章】按钮时，首先投标人必须要输入签章的开始页和结束页，页码输入完成后，投标人需要输入CA密码，CA密码验证通过后，投标人在PDF文件内选择正确的签章位置进行签章，签章成功后，开始页到结束页相同位置显示签章信息。</w:t>
      </w:r>
    </w:p>
    <w:p>
      <w:pPr>
        <w:pStyle w:val="12"/>
        <w:numPr>
          <w:ilvl w:val="0"/>
          <w:numId w:val="7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签章完成需要点击保存按钮，关闭按钮后需要点击确认完成才算作签章成功完成，客户端左侧菜单栏相关菜单前会出现“√”表示已完成。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专用表单编制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专用表单的内容以页面形式进行录入。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对于报价方式为总价的项目，可直接编辑价格开标一览表。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支持通过公式自动计算出投标总价。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支持提示投标人所填投标总价金额是否正确。（开标一览表金额输入完成后，点击确认完成，报价金额的输入框下会显示中文大写报价的提示信息）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完成开标一览表时，需验证CA密码。CA密码验证成功后，判断CA中的投标人名称与开标一览表中录入的投标人名称是否一致，如投标人名称和CA中的投标人名称不一致，给出“您输入的投标人名称和CA中的投标人名称【CA中的投标人名称】不一致，是否确认完成？”提示，确认完成后可继续操作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对于报价为单项，支持投标一览表进行报价。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支持对分项报价表、商务参数表、技术参数表等表单进行编辑、导出数据、导入数据。</w:t>
      </w:r>
    </w:p>
    <w:p>
      <w:pPr>
        <w:pStyle w:val="12"/>
        <w:numPr>
          <w:ilvl w:val="0"/>
          <w:numId w:val="8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表单编制完成后，支持表单合并功能。开标一览表等专用表单确认完成且投标人上传了投标文件PDF后，可进行表单合并，投标人点击【合并表单数据】按钮，提示“表单合并成功”，表单合并至投标文件PDF的最后一页。如果表单合并后，投标人修改了之前已完成的开标一览表等专用表单的数据，则之前已合并完成投标文件PDF自动删除，投标人需重新上传投标文件PDF，重新合并表单数据。注意：对上传的投标文件PDF签章时，必须先合并表单，否则无法对投标文件PDF进行签章。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条款和投标文件关联</w:t>
      </w:r>
    </w:p>
    <w:p>
      <w:pPr>
        <w:pStyle w:val="12"/>
        <w:numPr>
          <w:ilvl w:val="0"/>
          <w:numId w:val="9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支持采购经理配置投标文件是否必须与条款关联。</w:t>
      </w:r>
    </w:p>
    <w:p>
      <w:pPr>
        <w:pStyle w:val="12"/>
        <w:numPr>
          <w:ilvl w:val="0"/>
          <w:numId w:val="9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若配置成必须关联，完成条款关联时要校验所有子条款必须与投标文件关联，否则不能完成；若配置为不需要关联，客户端不展示关联页面。</w:t>
      </w: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59070" cy="2477770"/>
            <wp:effectExtent l="0" t="0" r="11430" b="11430"/>
            <wp:docPr id="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4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9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招标文件数据包导入客户端后，条款关联页面自动带出评标条款。</w:t>
      </w:r>
    </w:p>
    <w:p>
      <w:pPr>
        <w:pStyle w:val="12"/>
        <w:numPr>
          <w:ilvl w:val="0"/>
          <w:numId w:val="9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支持一个条款与多页码关联。投标人选择条款，点击“开启关联”，滚动鼠标选择关联的投标文件页码，点击鼠标左键即可完成关联。当前选择的条款可以和一本投标文件PDF内的多个页码关联，也可以切换投标文件PDF，和不同投标文件PDF的页码进行关联。关联成功后，对应投标文件页面的左上角显示“已关联”图标。</w:t>
      </w:r>
    </w:p>
    <w:p>
      <w:pPr>
        <w:pStyle w:val="12"/>
        <w:numPr>
          <w:ilvl w:val="0"/>
          <w:numId w:val="9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全部关联后，点击右上角的“确认完成”，即为条款关联成功，如果没有全部关联完成就点击“确认完成”，系统会提示“请先进行关联”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bookmarkStart w:id="11" w:name="_Toc7940"/>
      <w:r>
        <w:rPr>
          <w:rFonts w:hint="default" w:ascii="Times New Roman" w:hAnsi="Times New Roman" w:eastAsia="仿宋" w:cs="Times New Roman"/>
          <w:sz w:val="28"/>
          <w:szCs w:val="28"/>
        </w:rPr>
        <w:t>投标文件生成</w:t>
      </w:r>
      <w:bookmarkEnd w:id="11"/>
    </w:p>
    <w:p>
      <w:pPr>
        <w:pStyle w:val="12"/>
        <w:numPr>
          <w:ilvl w:val="0"/>
          <w:numId w:val="10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投标文件编制完成、条款关联完成,可生成一本或多本投标文件，生成投标文件必须使用CA 。若投标文件未编制完成或条款未关联完成（如需），系统做出相应的提示，投标人可选择继续编制投标文件和关联条款。</w:t>
      </w:r>
    </w:p>
    <w:p>
      <w:pPr>
        <w:pStyle w:val="12"/>
        <w:numPr>
          <w:ilvl w:val="0"/>
          <w:numId w:val="10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生成投标文件时，需先校验投标人是否插入CA证书。插入CA证书后，提示投标人输入CA密码，若投标人未插入CA或CA密码输入错误，则无法生成投标文件。</w:t>
      </w:r>
    </w:p>
    <w:p>
      <w:pPr>
        <w:pStyle w:val="12"/>
        <w:numPr>
          <w:ilvl w:val="0"/>
          <w:numId w:val="10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若投标文件的商务、技术、价格、条款关联有任意一个没有完成，点击生成文件，则系统提示具体某一个部分未完成。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投标文件加密</w:t>
      </w:r>
    </w:p>
    <w:p>
      <w:pPr>
        <w:pStyle w:val="12"/>
        <w:numPr>
          <w:ilvl w:val="0"/>
          <w:numId w:val="11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投标文件编制完成、条款关联完成，可生成投标文件。生成投标文件时，需用CA对投标文件进行加密，加密后的投标文件用于投标人最终递交。</w:t>
      </w:r>
    </w:p>
    <w:p>
      <w:pPr>
        <w:pStyle w:val="12"/>
        <w:numPr>
          <w:ilvl w:val="0"/>
          <w:numId w:val="11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对投标文件加密时，需要支持生成自定义密码信封，投标人在开标解密时，可通过密码信封、CA密码来解密投标文件。生成投标文件时，CA密码验证成功后，投标人需输入8位自定义密码信封，并且需要输入2次，以确保二次输入密码一致。如果投标人未输入密码信封或者输入密码信封的密码格式（8位字母和数字组成的密码，字母不区分大小写）不符合要求，给出相应提示，不能完成加密操作。</w:t>
      </w:r>
    </w:p>
    <w:p>
      <w:pPr>
        <w:pStyle w:val="12"/>
        <w:numPr>
          <w:ilvl w:val="0"/>
          <w:numId w:val="11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输入CA密码、输入密码信封密码后，选择投标文件存放路径，生成etnd格式的投标文件、txt格式的密码信封（密码信封应妥善保管至开标结束，以防泄密）。</w:t>
      </w:r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投标客户端文件管理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投标人对同一投标客户端所编制过的投标文件进行管理，所有编制过的投标文件都会在列表中展示。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我的投标文件页面列表的项目信息可通过查询条件进行筛选；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导入招标文件数据包后，将会在【我的投标文件】页面显示项目信息，项目信息按投标文件最后修改时间排序，可从项目信息快捷进入投标文件编制页面。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投标人可删除【我的投标文件】列表中的投标文件，删除投标文件后需重新导入招标文件数据包才能重新编辑投标文件。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投标人在【我的投标文件】列表中可选择项目信息进行日志的下载；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重新生成密码信封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密码信封是一份txt格式的文件，文件内记录了投标人在生成投标文件时自定义的密码。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重新生成密码信封前必须插入CA证书并且输入正确的CA密码，选择密码信封保存路径后，便可重新生成txt格式的密码信封。</w:t>
      </w:r>
    </w:p>
    <w:p>
      <w:pPr>
        <w:pStyle w:val="12"/>
        <w:numPr>
          <w:ilvl w:val="0"/>
          <w:numId w:val="12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重新生成密码信封时使用的CA必须与加密投标文件时使用的CA相同。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投标文件解密验证</w:t>
      </w:r>
    </w:p>
    <w:p>
      <w:pPr>
        <w:pStyle w:val="12"/>
        <w:numPr>
          <w:ilvl w:val="0"/>
          <w:numId w:val="13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文件解密验证即测试解密，是指投标人对投标文件加密后，在本地测试投标文件能否正常解密，以提高开标时密码信封解密或者CA解密的成功率。测试解密的两种方式：CA解密、密码串解密。测试解密时，要使用服务端提供的接口进行解密。</w:t>
      </w:r>
    </w:p>
    <w:p>
      <w:pPr>
        <w:pStyle w:val="5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PDF文件签章</w:t>
      </w:r>
    </w:p>
    <w:p>
      <w:pPr>
        <w:pStyle w:val="12"/>
        <w:numPr>
          <w:ilvl w:val="0"/>
          <w:numId w:val="1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投标客户端支持投标人对非投标文件等PDF格式文件进行签章，直接点击投标客户端菜单【PDF文件签章】，导入PDF格式文件即可进行CA电子签章</w:t>
      </w:r>
    </w:p>
    <w:p>
      <w:pPr>
        <w:pStyle w:val="12"/>
        <w:numPr>
          <w:ilvl w:val="0"/>
          <w:numId w:val="14"/>
        </w:numPr>
        <w:ind w:firstLineChars="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PDF文件签章支持单页、多页签章功能， 签章完成后需进行保存后再导出，依然为PDF格式，也可以把签章后的PDF文件另存为，选择保存位置进行保存</w:t>
      </w:r>
    </w:p>
    <w:p>
      <w:pPr>
        <w:pStyle w:val="4"/>
        <w:tabs>
          <w:tab w:val="left" w:pos="0"/>
        </w:tabs>
        <w:rPr>
          <w:rFonts w:hint="default" w:ascii="Times New Roman" w:hAnsi="Times New Roman" w:eastAsia="仿宋" w:cs="Times New Roman"/>
          <w:sz w:val="28"/>
          <w:szCs w:val="28"/>
        </w:rPr>
      </w:pPr>
      <w:bookmarkStart w:id="12" w:name="_Toc4521"/>
      <w:r>
        <w:rPr>
          <w:rFonts w:hint="default" w:ascii="Times New Roman" w:hAnsi="Times New Roman" w:eastAsia="仿宋" w:cs="Times New Roman"/>
          <w:sz w:val="28"/>
          <w:szCs w:val="28"/>
        </w:rPr>
        <w:t>页面原型</w:t>
      </w:r>
      <w:bookmarkEnd w:id="12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6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3" w:name="_Toc19438"/>
      <w:r>
        <w:rPr>
          <w:rFonts w:hint="default" w:ascii="Times New Roman" w:hAnsi="Times New Roman" w:eastAsia="仿宋" w:cs="Times New Roman"/>
          <w:sz w:val="28"/>
          <w:szCs w:val="28"/>
        </w:rPr>
        <w:t>投标客户端</w:t>
      </w:r>
      <w:bookmarkEnd w:id="13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7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4" w:name="_Toc25238"/>
      <w:r>
        <w:rPr>
          <w:rFonts w:hint="default" w:ascii="Times New Roman" w:hAnsi="Times New Roman" w:eastAsia="仿宋" w:cs="Times New Roman"/>
          <w:sz w:val="28"/>
          <w:szCs w:val="28"/>
        </w:rPr>
        <w:t>删除投标客户端的文件</w:t>
      </w:r>
      <w:bookmarkEnd w:id="14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82" name="图片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18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5" w:name="_Toc20518"/>
      <w:r>
        <w:rPr>
          <w:rFonts w:hint="default" w:ascii="Times New Roman" w:hAnsi="Times New Roman" w:eastAsia="仿宋" w:cs="Times New Roman"/>
          <w:sz w:val="28"/>
          <w:szCs w:val="28"/>
        </w:rPr>
        <w:t>创建投标文件</w:t>
      </w:r>
      <w:bookmarkEnd w:id="15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6" w:name="_Toc11532"/>
      <w:r>
        <w:rPr>
          <w:rFonts w:hint="default" w:ascii="Times New Roman" w:hAnsi="Times New Roman" w:eastAsia="仿宋" w:cs="Times New Roman"/>
          <w:sz w:val="28"/>
          <w:szCs w:val="28"/>
        </w:rPr>
        <w:t>招标文件/资格预审文件数据包导入页面</w:t>
      </w:r>
      <w:bookmarkEnd w:id="16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7" w:name="_Toc14089"/>
      <w:r>
        <w:rPr>
          <w:rFonts w:hint="default" w:ascii="Times New Roman" w:hAnsi="Times New Roman" w:eastAsia="仿宋" w:cs="Times New Roman"/>
          <w:sz w:val="28"/>
          <w:szCs w:val="28"/>
        </w:rPr>
        <w:t>已有的数据分包导入之后的提示</w:t>
      </w:r>
      <w:bookmarkEnd w:id="17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8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图片 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8" w:name="_Toc17077"/>
      <w:r>
        <w:rPr>
          <w:rFonts w:hint="default" w:ascii="Times New Roman" w:hAnsi="Times New Roman" w:eastAsia="仿宋" w:cs="Times New Roman"/>
          <w:sz w:val="28"/>
          <w:szCs w:val="28"/>
        </w:rPr>
        <w:t>编制资格预审文件</w:t>
      </w:r>
      <w:bookmarkEnd w:id="18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8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19" w:name="_Toc16312"/>
      <w:r>
        <w:rPr>
          <w:rFonts w:hint="default" w:ascii="Times New Roman" w:hAnsi="Times New Roman" w:eastAsia="仿宋" w:cs="Times New Roman"/>
          <w:sz w:val="28"/>
          <w:szCs w:val="28"/>
        </w:rPr>
        <w:t>签章时输入CA密码</w:t>
      </w:r>
      <w:bookmarkEnd w:id="19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0" w:name="_Toc20933"/>
      <w:r>
        <w:rPr>
          <w:rFonts w:hint="default" w:ascii="Times New Roman" w:hAnsi="Times New Roman" w:eastAsia="仿宋" w:cs="Times New Roman"/>
          <w:sz w:val="28"/>
          <w:szCs w:val="28"/>
        </w:rPr>
        <w:t>签章实际页面效果</w:t>
      </w:r>
      <w:bookmarkEnd w:id="20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0" distR="0">
            <wp:extent cx="5274310" cy="7044055"/>
            <wp:effectExtent l="0" t="0" r="8890" b="4445"/>
            <wp:docPr id="187" name="图片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18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4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1" w:name="_Toc1228"/>
      <w:r>
        <w:rPr>
          <w:rFonts w:hint="default" w:ascii="Times New Roman" w:hAnsi="Times New Roman" w:eastAsia="仿宋" w:cs="Times New Roman"/>
          <w:sz w:val="28"/>
          <w:szCs w:val="28"/>
        </w:rPr>
        <w:t>编制商务文件</w:t>
      </w:r>
      <w:bookmarkEnd w:id="21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0" distR="0">
            <wp:extent cx="5274310" cy="7733665"/>
            <wp:effectExtent l="0" t="0" r="8890" b="635"/>
            <wp:docPr id="190" name="图片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图片 190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3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2" w:name="_Toc25313"/>
      <w:r>
        <w:rPr>
          <w:rFonts w:hint="default" w:ascii="Times New Roman" w:hAnsi="Times New Roman" w:eastAsia="仿宋" w:cs="Times New Roman"/>
          <w:sz w:val="28"/>
          <w:szCs w:val="28"/>
        </w:rPr>
        <w:t>无技术暗标的文件格式</w:t>
      </w:r>
      <w:bookmarkEnd w:id="22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0" distR="0">
            <wp:extent cx="5274310" cy="3441065"/>
            <wp:effectExtent l="0" t="0" r="8890" b="635"/>
            <wp:docPr id="114689" name="图片 114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89" name="图片 11468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3" w:name="_Toc2839"/>
      <w:r>
        <w:rPr>
          <w:rFonts w:hint="default" w:ascii="Times New Roman" w:hAnsi="Times New Roman" w:eastAsia="仿宋" w:cs="Times New Roman"/>
          <w:sz w:val="28"/>
          <w:szCs w:val="28"/>
        </w:rPr>
        <w:t>有技术暗标的节点</w:t>
      </w:r>
      <w:bookmarkEnd w:id="23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0" distR="0">
            <wp:extent cx="5274310" cy="3477260"/>
            <wp:effectExtent l="0" t="0" r="8890" b="2540"/>
            <wp:docPr id="114690" name="图片 114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0" name="图片 11469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4" w:name="_Toc4935"/>
      <w:r>
        <w:rPr>
          <w:rFonts w:hint="default" w:ascii="Times New Roman" w:hAnsi="Times New Roman" w:eastAsia="仿宋" w:cs="Times New Roman"/>
          <w:sz w:val="28"/>
          <w:szCs w:val="28"/>
        </w:rPr>
        <w:t>价格文件节点</w:t>
      </w:r>
      <w:bookmarkEnd w:id="24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1470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7" name="图片 1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5" w:name="_Toc24495"/>
      <w:r>
        <w:rPr>
          <w:rFonts w:hint="default" w:ascii="Times New Roman" w:hAnsi="Times New Roman" w:eastAsia="仿宋" w:cs="Times New Roman"/>
          <w:sz w:val="28"/>
          <w:szCs w:val="28"/>
        </w:rPr>
        <w:t>关联评标办法</w:t>
      </w:r>
      <w:bookmarkEnd w:id="25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1470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8" name="图片 1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6" w:name="_Toc21827"/>
      <w:r>
        <w:rPr>
          <w:rFonts w:hint="default" w:ascii="Times New Roman" w:hAnsi="Times New Roman" w:eastAsia="仿宋" w:cs="Times New Roman"/>
          <w:sz w:val="28"/>
          <w:szCs w:val="28"/>
        </w:rPr>
        <w:t>未关联评标办法提醒</w:t>
      </w:r>
      <w:bookmarkEnd w:id="26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114300" distR="114300">
            <wp:extent cx="5266055" cy="3388995"/>
            <wp:effectExtent l="0" t="0" r="4445" b="1905"/>
            <wp:docPr id="11471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10" name="图片 1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7" w:name="_Toc1810"/>
      <w:r>
        <w:rPr>
          <w:rFonts w:hint="default" w:ascii="Times New Roman" w:hAnsi="Times New Roman" w:eastAsia="仿宋" w:cs="Times New Roman"/>
          <w:sz w:val="28"/>
          <w:szCs w:val="28"/>
        </w:rPr>
        <w:t>文件未编制完成提醒</w:t>
      </w:r>
      <w:bookmarkEnd w:id="27"/>
    </w:p>
    <w:p>
      <w:pPr>
        <w:pStyle w:val="9"/>
        <w:ind w:firstLine="21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drawing>
          <wp:inline distT="0" distB="0" distL="0" distR="0">
            <wp:extent cx="5274310" cy="3716020"/>
            <wp:effectExtent l="0" t="0" r="8890" b="5080"/>
            <wp:docPr id="114691" name="图片 114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1" name="图片 11469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firstLine="210"/>
        <w:jc w:val="center"/>
        <w:outlineLvl w:val="0"/>
        <w:rPr>
          <w:rFonts w:hint="default" w:ascii="Times New Roman" w:hAnsi="Times New Roman" w:eastAsia="仿宋" w:cs="Times New Roman"/>
          <w:sz w:val="28"/>
          <w:szCs w:val="28"/>
        </w:rPr>
      </w:pPr>
      <w:bookmarkStart w:id="28" w:name="_Toc4400"/>
      <w:r>
        <w:rPr>
          <w:rFonts w:hint="default" w:ascii="Times New Roman" w:hAnsi="Times New Roman" w:eastAsia="仿宋" w:cs="Times New Roman"/>
          <w:sz w:val="28"/>
          <w:szCs w:val="28"/>
        </w:rPr>
        <w:t>生成加密的投标文件</w:t>
      </w:r>
      <w:bookmarkEnd w:id="28"/>
    </w:p>
    <w:p>
      <w:pPr>
        <w:rPr>
          <w:rFonts w:hint="default" w:ascii="Times New Roman" w:hAnsi="Times New Roman" w:eastAsia="仿宋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HelloFont ID Ranger Black">
    <w:altName w:val="微软雅黑"/>
    <w:panose1 w:val="00000000000000000000"/>
    <w:charset w:val="86"/>
    <w:family w:val="auto"/>
    <w:pitch w:val="default"/>
    <w:sig w:usb0="00000000" w:usb1="00000000" w:usb2="0000000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EBDFC6"/>
    <w:multiLevelType w:val="singleLevel"/>
    <w:tmpl w:val="EFEBDFC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67E4655"/>
    <w:multiLevelType w:val="singleLevel"/>
    <w:tmpl w:val="067E465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76A6038"/>
    <w:multiLevelType w:val="singleLevel"/>
    <w:tmpl w:val="276A6038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427F0764"/>
    <w:multiLevelType w:val="singleLevel"/>
    <w:tmpl w:val="427F0764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43775F72"/>
    <w:multiLevelType w:val="singleLevel"/>
    <w:tmpl w:val="43775F72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46C11E75"/>
    <w:multiLevelType w:val="singleLevel"/>
    <w:tmpl w:val="46C11E75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548527F2"/>
    <w:multiLevelType w:val="singleLevel"/>
    <w:tmpl w:val="548527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61D315CB"/>
    <w:multiLevelType w:val="singleLevel"/>
    <w:tmpl w:val="61D315CB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67D05C26"/>
    <w:multiLevelType w:val="singleLevel"/>
    <w:tmpl w:val="67D05C26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68E7367B"/>
    <w:multiLevelType w:val="multilevel"/>
    <w:tmpl w:val="68E7367B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2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884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>
    <w:nsid w:val="6C0665E3"/>
    <w:multiLevelType w:val="singleLevel"/>
    <w:tmpl w:val="6C0665E3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707A4C4C"/>
    <w:multiLevelType w:val="singleLevel"/>
    <w:tmpl w:val="707A4C4C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75F63814"/>
    <w:multiLevelType w:val="singleLevel"/>
    <w:tmpl w:val="75F63814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7C68649D"/>
    <w:multiLevelType w:val="singleLevel"/>
    <w:tmpl w:val="7C68649D"/>
    <w:lvl w:ilvl="0" w:tentative="0">
      <w:start w:val="1"/>
      <w:numFmt w:val="decimal"/>
      <w:suff w:val="space"/>
      <w:lvlText w:val="%1."/>
      <w:lvlJc w:val="left"/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3"/>
  </w:num>
  <w:num w:numId="9">
    <w:abstractNumId w:val="12"/>
  </w:num>
  <w:num w:numId="10">
    <w:abstractNumId w:val="8"/>
  </w:num>
  <w:num w:numId="11">
    <w:abstractNumId w:val="6"/>
  </w:num>
  <w:num w:numId="12">
    <w:abstractNumId w:val="11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07092"/>
    <w:rsid w:val="12C44705"/>
    <w:rsid w:val="4F90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9"/>
    <w:pPr>
      <w:keepNext/>
      <w:keepLines/>
      <w:numPr>
        <w:ilvl w:val="1"/>
        <w:numId w:val="1"/>
      </w:numPr>
      <w:spacing w:line="520" w:lineRule="exact"/>
      <w:jc w:val="left"/>
      <w:outlineLvl w:val="1"/>
    </w:pPr>
    <w:rPr>
      <w:rFonts w:eastAsia="HelloFont ID Ranger Black" w:asciiTheme="majorHAnsi" w:hAnsiTheme="majorHAnsi" w:cstheme="majorBidi"/>
      <w:bCs/>
      <w:sz w:val="28"/>
      <w:szCs w:val="32"/>
    </w:rPr>
  </w:style>
  <w:style w:type="paragraph" w:styleId="4">
    <w:name w:val="heading 3"/>
    <w:basedOn w:val="1"/>
    <w:next w:val="3"/>
    <w:unhideWhenUsed/>
    <w:qFormat/>
    <w:uiPriority w:val="9"/>
    <w:pPr>
      <w:keepNext/>
      <w:keepLines/>
      <w:numPr>
        <w:ilvl w:val="2"/>
        <w:numId w:val="1"/>
      </w:numPr>
      <w:spacing w:line="520" w:lineRule="exact"/>
      <w:jc w:val="left"/>
      <w:outlineLvl w:val="2"/>
    </w:pPr>
    <w:rPr>
      <w:rFonts w:eastAsia="仿宋"/>
      <w:b/>
      <w:bCs/>
      <w:sz w:val="28"/>
      <w:szCs w:val="32"/>
    </w:rPr>
  </w:style>
  <w:style w:type="paragraph" w:styleId="5">
    <w:name w:val="heading 4"/>
    <w:basedOn w:val="4"/>
    <w:next w:val="1"/>
    <w:unhideWhenUsed/>
    <w:qFormat/>
    <w:uiPriority w:val="9"/>
    <w:pPr>
      <w:numPr>
        <w:ilvl w:val="3"/>
      </w:numPr>
      <w:outlineLvl w:val="3"/>
    </w:pPr>
    <w:rPr>
      <w:rFonts w:asciiTheme="majorHAnsi" w:hAnsiTheme="majorHAnsi" w:cstheme="majorBidi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/>
    </w:pPr>
    <w:rPr>
      <w:rFonts w:ascii="Times New Roman" w:hAnsi="Times New Roman" w:eastAsia="宋体" w:cs="Times New Roman"/>
      <w:kern w:val="0"/>
      <w:sz w:val="20"/>
      <w:szCs w:val="24"/>
    </w:rPr>
  </w:style>
  <w:style w:type="paragraph" w:styleId="6">
    <w:name w:val="toc 3"/>
    <w:basedOn w:val="1"/>
    <w:next w:val="1"/>
    <w:uiPriority w:val="0"/>
    <w:pPr>
      <w:ind w:left="840" w:leftChars="400"/>
    </w:pPr>
  </w:style>
  <w:style w:type="paragraph" w:styleId="7">
    <w:name w:val="toc 1"/>
    <w:basedOn w:val="1"/>
    <w:next w:val="1"/>
    <w:uiPriority w:val="0"/>
  </w:style>
  <w:style w:type="paragraph" w:styleId="8">
    <w:name w:val="toc 2"/>
    <w:basedOn w:val="1"/>
    <w:next w:val="1"/>
    <w:qFormat/>
    <w:uiPriority w:val="0"/>
    <w:pPr>
      <w:ind w:left="420" w:leftChars="200"/>
    </w:pPr>
  </w:style>
  <w:style w:type="paragraph" w:styleId="9">
    <w:name w:val="Body Text First Indent"/>
    <w:basedOn w:val="3"/>
    <w:qFormat/>
    <w:uiPriority w:val="0"/>
    <w:pPr>
      <w:ind w:firstLine="420"/>
    </w:pPr>
    <w:rPr>
      <w:kern w:val="2"/>
      <w:sz w:val="21"/>
      <w:szCs w:val="20"/>
    </w:rPr>
  </w:style>
  <w:style w:type="paragraph" w:styleId="12">
    <w:name w:val="List Paragraph"/>
    <w:basedOn w:val="1"/>
    <w:qFormat/>
    <w:uiPriority w:val="34"/>
    <w:pPr>
      <w:widowControl/>
      <w:ind w:firstLine="420" w:firstLineChars="200"/>
      <w:jc w:val="left"/>
    </w:pPr>
    <w:rPr>
      <w:rFonts w:ascii="Calibri" w:hAnsi="Calibri" w:cs="Times New Roman"/>
      <w:kern w:val="0"/>
      <w:sz w:val="24"/>
      <w:lang w:val="zh-CN"/>
    </w:rPr>
  </w:style>
  <w:style w:type="paragraph" w:customStyle="1" w:styleId="13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2026-03-22T07:51:00Z</dcterms:created>
  <dc:creator>Administrator</dc:creator>
  <cp:lastModifiedBy>NTKO</cp:lastModifiedBy>
  <dcterms:modified xsi:type="dcterms:W3CDTF">2026-03-23T02:16:41Z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